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05" w:rsidRDefault="00741F05" w:rsidP="00741F05">
      <w:pPr>
        <w:ind w:left="284"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ПОРЯДОК</w:t>
      </w:r>
    </w:p>
    <w:p w:rsidR="00741F05" w:rsidRPr="00B760AE" w:rsidRDefault="00741F05" w:rsidP="00741F05">
      <w:pPr>
        <w:ind w:left="284" w:firstLine="567"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741F05" w:rsidRPr="00B760AE" w:rsidRDefault="00741F05" w:rsidP="00741F05">
      <w:pPr>
        <w:widowControl/>
        <w:ind w:left="284" w:firstLine="567"/>
        <w:jc w:val="center"/>
        <w:rPr>
          <w:rFonts w:ascii="Times New Roman" w:eastAsia="Times New Roman" w:hAnsi="Times New Roman" w:cs="Times New Roman"/>
          <w:color w:val="auto"/>
          <w:lang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реагування</w:t>
      </w:r>
      <w:proofErr w:type="spellEnd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на </w:t>
      </w:r>
      <w:proofErr w:type="spell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випадки</w:t>
      </w:r>
      <w:proofErr w:type="spellEnd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(</w:t>
      </w:r>
      <w:proofErr w:type="spell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цькування</w:t>
      </w:r>
      <w:proofErr w:type="spellEnd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) в закладах </w:t>
      </w:r>
      <w:proofErr w:type="spell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освіти</w:t>
      </w:r>
      <w:proofErr w:type="spellEnd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та застосування заходів виховного впливу</w:t>
      </w:r>
    </w:p>
    <w:p w:rsidR="00741F05" w:rsidRPr="00B760AE" w:rsidRDefault="00741F05" w:rsidP="00741F05">
      <w:pPr>
        <w:widowControl/>
        <w:ind w:left="284" w:firstLine="567"/>
        <w:jc w:val="center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741F05" w:rsidRPr="00B760AE" w:rsidRDefault="00741F05" w:rsidP="00741F05">
      <w:pPr>
        <w:widowControl/>
        <w:numPr>
          <w:ilvl w:val="0"/>
          <w:numId w:val="3"/>
        </w:numPr>
        <w:spacing w:after="160"/>
        <w:ind w:left="284" w:firstLine="56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Загальні</w:t>
      </w:r>
      <w:proofErr w:type="spellEnd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положення</w:t>
      </w:r>
      <w:proofErr w:type="spellEnd"/>
    </w:p>
    <w:p w:rsidR="00741F05" w:rsidRPr="00B760AE" w:rsidRDefault="00741F05" w:rsidP="00741F05">
      <w:pPr>
        <w:widowControl/>
        <w:ind w:left="284" w:firstLine="567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1.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2"/>
          <w:lang w:eastAsia="ru-RU" w:bidi="ar-SA"/>
        </w:rPr>
        <w:tab/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Цим документом визначається порядок реагування на випадки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 в закладах освіти суб'єктами реагування, в тому числі при наявності підозри про вчинення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 стосовно малолітньої або неповнолітньої особи або такою особою стосовно інших учасників освітнього процесу.</w:t>
      </w:r>
    </w:p>
    <w:p w:rsidR="00741F05" w:rsidRPr="00B760AE" w:rsidRDefault="00741F05" w:rsidP="00741F05">
      <w:pPr>
        <w:widowControl/>
        <w:ind w:left="284" w:firstLine="567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2.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2"/>
          <w:lang w:val="ru-RU" w:eastAsia="ru-RU" w:bidi="ar-SA"/>
        </w:rPr>
        <w:tab/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У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цьому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Порядку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терміни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вживаються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</w:t>
      </w:r>
      <w:proofErr w:type="gram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таких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значеннях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:</w:t>
      </w:r>
    </w:p>
    <w:p w:rsidR="00741F05" w:rsidRPr="00B760AE" w:rsidRDefault="00741F05" w:rsidP="00741F05">
      <w:pPr>
        <w:widowControl/>
        <w:ind w:left="284" w:firstLine="567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конфлікт</w:t>
      </w:r>
      <w:proofErr w:type="spellEnd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-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це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зіткнення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протилежно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спрямованих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несумісних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одна з одною потреб,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інтересів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proofErr w:type="gram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</w:t>
      </w:r>
      <w:proofErr w:type="gram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іальних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установок,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планів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тощо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свідомості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окремої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особи, яке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виникає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міжособистісних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взаємодіях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окремих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осіб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груп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741F05" w:rsidRPr="00B760AE" w:rsidRDefault="00741F05" w:rsidP="00741F05">
      <w:pPr>
        <w:widowControl/>
        <w:ind w:left="284" w:firstLine="567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типовими</w:t>
      </w:r>
      <w:proofErr w:type="spellEnd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ознаками</w:t>
      </w:r>
      <w:proofErr w:type="spellEnd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конфлікту</w:t>
      </w:r>
      <w:proofErr w:type="spellEnd"/>
      <w:proofErr w:type="gram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є:</w:t>
      </w:r>
      <w:proofErr w:type="gramEnd"/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нерегулярність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баланс (</w:t>
      </w:r>
      <w:proofErr w:type="spellStart"/>
      <w:proofErr w:type="gram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proofErr w:type="gram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івність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) сил –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здатність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кожної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сторін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конфлікту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впливати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процес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конфлікту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відносна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рівність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фізичних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сил,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соціально-психологічної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адаптованості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комунікаційних навичок,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соціального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статусу, стану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здоров’я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ментального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розвитку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відсутність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умислу</w:t>
      </w:r>
      <w:proofErr w:type="spellEnd"/>
      <w:r w:rsidRPr="00B760AE">
        <w:rPr>
          <w:rFonts w:ascii="Calibri" w:eastAsia="Calibri" w:hAnsi="Calibri" w:cs="Times New Roman"/>
          <w:color w:val="auto"/>
          <w:sz w:val="22"/>
          <w:szCs w:val="22"/>
          <w:lang w:val="ru-RU" w:eastAsia="en-US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заподіяння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психічної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та/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або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фізичної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шкоди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приниження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страх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тривоги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proofErr w:type="gram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ідпорядкування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своїм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інтересам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та/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або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спричинення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соціальної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ізоляції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; 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розкаяння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сторін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конфлікту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зусилля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сторін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конфлікту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спрямовані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вирішення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конфлікту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741F05" w:rsidRPr="00B760AE" w:rsidRDefault="00741F05" w:rsidP="00741F05">
      <w:pPr>
        <w:widowControl/>
        <w:ind w:left="284" w:firstLine="567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proofErr w:type="gram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булінг</w:t>
      </w:r>
      <w:proofErr w:type="spellEnd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(</w:t>
      </w:r>
      <w:proofErr w:type="spell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цькування</w:t>
      </w:r>
      <w:proofErr w:type="spellEnd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)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–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діяння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дії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або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бездіяльність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)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учасників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освітнього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процесу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які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полягають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психологічному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фізичному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економічному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сексуальному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насильстві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у тому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числі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із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застосуванням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засобів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електронних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комунікацій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що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вчиняються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стосовно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малолітньої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неповнолітньої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особи та (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або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) такою особою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стосовно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інших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учасників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освітнього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процесу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внаслідок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чого</w:t>
      </w:r>
      <w:proofErr w:type="spellEnd"/>
      <w:proofErr w:type="gram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могла</w:t>
      </w:r>
      <w:proofErr w:type="gram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бути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була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заподіяна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шкода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психічному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або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фізичному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здоров’ю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потерпілого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741F05" w:rsidRPr="00B760AE" w:rsidRDefault="00741F05" w:rsidP="00741F05">
      <w:pPr>
        <w:widowControl/>
        <w:ind w:left="284" w:firstLine="567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741F05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741F05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</w:pP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типовими</w:t>
      </w:r>
      <w:proofErr w:type="spellEnd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ознаками</w:t>
      </w:r>
      <w:proofErr w:type="spellEnd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(</w:t>
      </w:r>
      <w:proofErr w:type="spell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цькування</w:t>
      </w:r>
      <w:proofErr w:type="spellEnd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)</w:t>
      </w:r>
      <w:proofErr w:type="gram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є:</w:t>
      </w:r>
      <w:proofErr w:type="gramEnd"/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систематичність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повторюваність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)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діяння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–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вчинення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proofErr w:type="gram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ізних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формах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насильства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фізичного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економічного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психологічного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сексуального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в 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тому числі за допомогою засобів електронної комунікації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),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двічі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більше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разів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стосовно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однієї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тієї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ж особи;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наявність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сторін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–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кривдник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булер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),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потерпілий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(жертва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),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спостерігачі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(за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наявності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);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умисні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дії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або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бездіяльність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кривдника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наслідком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яких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є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заподіяння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психічної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та/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або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фізичної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шкоди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приниження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страх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тривоги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підпорядкування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потерпілого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інтересам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кривдника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та/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або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спричинення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соціальної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ізоляції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потерпілого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дисбаланс (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нерівність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) сил – </w:t>
      </w:r>
      <w:proofErr w:type="spellStart"/>
      <w:proofErr w:type="gram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proofErr w:type="gram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ізниця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фізичному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розвитку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кривдника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потерпілого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рівні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соціально-психологічної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адаптованості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комунікаційних навичок,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соціальному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статусі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стані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здоров’я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наявність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інвалідності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особливих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освітніх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потреб), ментальному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розвитку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тощо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; 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відсутність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розкаяння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кривдника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741F05" w:rsidRPr="00B760AE" w:rsidRDefault="00741F05" w:rsidP="00741F05">
      <w:pPr>
        <w:widowControl/>
        <w:ind w:left="284" w:firstLine="567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сторони </w:t>
      </w:r>
      <w:proofErr w:type="spell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 (цькування) – 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це безпосередні учасники випадку – кривдник (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булер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), потерпілий (жертва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), спостерігачі (за наявності); однією зі сторін випадку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цькуання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)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бов'язково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є малолітня чи неповнолітня особа;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кривдник (</w:t>
      </w:r>
      <w:proofErr w:type="spell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булер</w:t>
      </w:r>
      <w:proofErr w:type="spellEnd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) – 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учасник освітнього процесу, в тому числі малолітня чи неповнолітня особа, котра вчиняє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 по відношенню до іншого учасника освітнього процесу;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потерпілий (жертва </w:t>
      </w:r>
      <w:proofErr w:type="spell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)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– учасник освітнього процесу, в тому числі малолітня чи неповнолітня особа, стосовно якої було вчинено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(цькування), в результаті чого безпосередньо заподіяно фізичну, психологічну, матеріальну шкоду, приниження, страх, тривогу, підпорядкування інтересам кривдника та/або спричинення соціальної ізоляції;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спостерігачі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– безпосередні свідки та/або очевидці випадку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наслідок </w:t>
      </w:r>
      <w:proofErr w:type="spell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 (цькування)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– фізична, психологічна, матеріальна шкода, приниження, страх, тривога, підпорядкування потерпілого інтересам кривдника та/або соціальна ізоляція потерпілого;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учасники </w:t>
      </w:r>
      <w:proofErr w:type="spell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 (цькування) – 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сторони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(цькування), інші заінтересовані особи у запобіганні та протидії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 в закладі освіти, 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передбачені спеціальними законами та залучені до освітнього процесу у порядку, що встановлюється закладом освіти;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фізичне насильство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– форма насильства, в тому числі при вчиненні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(цькування), що включає штовхання, зачіпання, підніжки, бійки, стусани, ляпаси, удари та інші дії, які завдають біль і тілесні ушкодження тощо;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психологічне насильство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– форма насильства, в тому числі при вчиненні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(цькування), що включає образи, поширення неправдивих чуток, ізоляція, ігнорування, бойкот, відмова від спілкування, погрози, маніпуляції, шантаж тощо; 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економічне насильство – 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форма насильства, в тому числі при вчиненні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(цькування), що включає дрібні крадіжки, пошкодження або знищення особистих речей, вимагання грошей, їжі тощо;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сексуальне насильство – 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форма насильства, в тому числі при вчиненні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(цькування), що включає образливі жести, висловлювання, прізвиська, жарти, погрози, поширення чуток, обмацування сексуального (інтимного) характеру та/або змісту, сексуальні домагання тощо; 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кібербулінг</w:t>
      </w:r>
      <w:proofErr w:type="spellEnd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 –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(цькування), який вчиняється із застосуванням засобів електронних комунікацій (фото, відео і аудіо фіксація).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Інші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терміни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вживаються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значенні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наведеному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 законах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України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«Про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освіту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», «Про </w:t>
      </w:r>
      <w:proofErr w:type="spellStart"/>
      <w:proofErr w:type="gram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</w:t>
      </w:r>
      <w:proofErr w:type="gram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іальні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», «Про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запобігання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протидію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домашньому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насильству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», «Про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забезпечення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рівних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прав та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можливостей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жінок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чоловіків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».</w:t>
      </w:r>
    </w:p>
    <w:p w:rsidR="00741F05" w:rsidRPr="00B760AE" w:rsidRDefault="00741F05" w:rsidP="00741F05">
      <w:pPr>
        <w:widowControl/>
        <w:ind w:left="284" w:firstLine="567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3.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Проявами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цькування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) в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закладі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освіти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які є підставою для обґрунтованої підозри та реагування,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є:</w:t>
      </w:r>
    </w:p>
    <w:p w:rsidR="00741F05" w:rsidRPr="00B760AE" w:rsidRDefault="00741F05" w:rsidP="00741F05">
      <w:pPr>
        <w:widowControl/>
        <w:ind w:left="284" w:firstLine="567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741F05" w:rsidRPr="00B760AE" w:rsidRDefault="00741F05" w:rsidP="00741F05">
      <w:pPr>
        <w:widowControl/>
        <w:numPr>
          <w:ilvl w:val="0"/>
          <w:numId w:val="4"/>
        </w:numPr>
        <w:spacing w:after="160"/>
        <w:ind w:left="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сихологічні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: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замкнутість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тривожність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страх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або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навпаки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демонстрація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повної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відсутності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страху,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ризикована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зухвала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поведінка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неврівноважена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поведінка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агресивність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gram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напади</w:t>
      </w:r>
      <w:proofErr w:type="gram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люті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схильність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руйнації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нищення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насильства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proofErr w:type="gram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</w:t>
      </w:r>
      <w:proofErr w:type="gram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ізка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зміна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звичної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для дитини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поведінки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контрастну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уповільнене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мислення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знижена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здатність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навчання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відлюдкуватість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уникнення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однолітків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бажання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спілкуватись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із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значно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молодшими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дітьми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ізоляція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виключення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групи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небажання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інших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учасників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освітнього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процесу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спілкуватися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занижена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самооцінка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наявність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почуття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провини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поява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швидкої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втомлюваності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заниженої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спроможності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концентрації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уваги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демонстрація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страху перед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появою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інших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учасників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освітнього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процесу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схильність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прогулювання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навчання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lastRenderedPageBreak/>
        <w:t>відмова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йти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</w:t>
      </w:r>
      <w:proofErr w:type="gram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закладу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освіти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посиланням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погане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самопочуття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депресивні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розлади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аутоагресія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самопошкодження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);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суїцидальні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нахили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думки;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інші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прояви.</w:t>
      </w:r>
    </w:p>
    <w:p w:rsidR="00741F05" w:rsidRPr="00B760AE" w:rsidRDefault="00741F05" w:rsidP="00741F05">
      <w:pPr>
        <w:widowControl/>
        <w:ind w:left="284" w:firstLine="567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2)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фізичні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: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явні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фізичні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пошкодження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ознаки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gram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поганого</w:t>
      </w:r>
      <w:proofErr w:type="gram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самопочуття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нудота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головний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біль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кволість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тощо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);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скарги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дитини </w:t>
      </w:r>
      <w:proofErr w:type="gram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</w:t>
      </w:r>
      <w:proofErr w:type="gram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біль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та/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або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погане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самопочуття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; 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намагання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приховати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травми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обставини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їх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отримання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наявність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фото,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відео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proofErr w:type="gram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ауд</w:t>
      </w:r>
      <w:proofErr w:type="gram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матеріалів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фізичних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знущань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інші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прояви.</w:t>
      </w:r>
    </w:p>
    <w:p w:rsidR="00741F05" w:rsidRPr="00B760AE" w:rsidRDefault="00741F05" w:rsidP="00741F05">
      <w:pPr>
        <w:widowControl/>
        <w:ind w:left="284" w:firstLine="567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741F05" w:rsidRPr="00B760AE" w:rsidRDefault="00741F05" w:rsidP="00741F05">
      <w:pPr>
        <w:widowControl/>
        <w:shd w:val="clear" w:color="auto" w:fill="FFFFFF"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3)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економічні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: </w:t>
      </w:r>
    </w:p>
    <w:p w:rsidR="00741F05" w:rsidRPr="00B760AE" w:rsidRDefault="00741F05" w:rsidP="00741F05">
      <w:pPr>
        <w:widowControl/>
        <w:shd w:val="clear" w:color="auto" w:fill="FFFFFF"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наявні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пошкодження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або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зникнення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майна та/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або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особистих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речей; </w:t>
      </w:r>
    </w:p>
    <w:p w:rsidR="00741F05" w:rsidRPr="00B760AE" w:rsidRDefault="00741F05" w:rsidP="00741F05">
      <w:pPr>
        <w:widowControl/>
        <w:shd w:val="clear" w:color="auto" w:fill="FFFFFF"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скарги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пошкодження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зникнення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особистих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речей;</w:t>
      </w:r>
    </w:p>
    <w:p w:rsidR="00741F05" w:rsidRPr="00B760AE" w:rsidRDefault="00741F05" w:rsidP="00741F05">
      <w:pPr>
        <w:widowControl/>
        <w:shd w:val="clear" w:color="auto" w:fill="FFFFFF"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скарги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вимагання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особистих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речей,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їжі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, грошей;</w:t>
      </w:r>
    </w:p>
    <w:p w:rsidR="00741F05" w:rsidRPr="00B760AE" w:rsidRDefault="00741F05" w:rsidP="00741F05">
      <w:pPr>
        <w:widowControl/>
        <w:shd w:val="clear" w:color="auto" w:fill="FFFFFF"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інші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прояви.</w:t>
      </w:r>
    </w:p>
    <w:p w:rsidR="00741F05" w:rsidRPr="00B760AE" w:rsidRDefault="00741F05" w:rsidP="00741F05">
      <w:pPr>
        <w:widowControl/>
        <w:shd w:val="clear" w:color="auto" w:fill="FFFFFF"/>
        <w:ind w:left="284"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41F05" w:rsidRPr="00B760AE" w:rsidRDefault="00741F05" w:rsidP="00741F05">
      <w:pPr>
        <w:widowControl/>
        <w:shd w:val="clear" w:color="auto" w:fill="FFFFFF"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4)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сексуальні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:</w:t>
      </w:r>
    </w:p>
    <w:p w:rsidR="00741F05" w:rsidRPr="00B760AE" w:rsidRDefault="00741F05" w:rsidP="00741F05">
      <w:pPr>
        <w:widowControl/>
        <w:shd w:val="clear" w:color="auto" w:fill="FFFFFF"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скарги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образливі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жести,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висловлювання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proofErr w:type="gram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</w:t>
      </w:r>
      <w:proofErr w:type="gram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ізвиська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жарти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погрози,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поширення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чуток,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обмацування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сексуального (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інтимного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) характеру та/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або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змісту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; </w:t>
      </w:r>
    </w:p>
    <w:p w:rsidR="00741F05" w:rsidRPr="00B760AE" w:rsidRDefault="00741F05" w:rsidP="00741F05">
      <w:pPr>
        <w:widowControl/>
        <w:shd w:val="clear" w:color="auto" w:fill="FFFFFF"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наявність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фото,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відео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proofErr w:type="gram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ауд</w:t>
      </w:r>
      <w:proofErr w:type="gram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матеріалів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сексуального (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інтимного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) характеру та/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або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змісту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741F05" w:rsidRPr="00B760AE" w:rsidRDefault="00741F05" w:rsidP="00741F05">
      <w:pPr>
        <w:widowControl/>
        <w:shd w:val="clear" w:color="auto" w:fill="FFFFFF"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приховування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статевих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ознак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через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сором'язливість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шляхом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нашарування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великої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кількості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одягу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тілі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або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використання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одягу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який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максимально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приховує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тіло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;</w:t>
      </w:r>
    </w:p>
    <w:p w:rsidR="00741F05" w:rsidRPr="00B760AE" w:rsidRDefault="00741F05" w:rsidP="00741F05">
      <w:pPr>
        <w:widowControl/>
        <w:shd w:val="clear" w:color="auto" w:fill="FFFFFF"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інші прояви.</w:t>
      </w:r>
    </w:p>
    <w:p w:rsidR="00741F05" w:rsidRPr="00B760AE" w:rsidRDefault="00741F05" w:rsidP="00741F05">
      <w:pPr>
        <w:widowControl/>
        <w:shd w:val="clear" w:color="auto" w:fill="FFFFFF"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741F05" w:rsidRPr="00B760AE" w:rsidRDefault="00741F05" w:rsidP="00741F05">
      <w:pPr>
        <w:widowControl/>
        <w:shd w:val="clear" w:color="auto" w:fill="FFFFFF"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4. До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(цькування), який вчиняється стосовно неповнолітньої чи малолітньої особи та/або такою особою стосовно інших учасників освітнього процесу в закладі освіти, слід відносити випадки, які відбуваються безпосередньо в приміщенні закладу освіти та прилеглих територіях (включно з навчальними приміщеннями, приміщеннями для занять спортом, проведення заходів, коридорами, роздягальнями, туалетними та душовими кімнатами, їдальнею тощо) та/або за його межами, в тому числі із застосуванням засобів електронної комунікації.</w:t>
      </w:r>
    </w:p>
    <w:p w:rsidR="00741F05" w:rsidRPr="00B760AE" w:rsidRDefault="00741F05" w:rsidP="00741F05">
      <w:pPr>
        <w:widowControl/>
        <w:shd w:val="clear" w:color="auto" w:fill="FFFFFF"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II. </w:t>
      </w:r>
      <w:proofErr w:type="spell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Суб’єкти</w:t>
      </w:r>
      <w:proofErr w:type="spellEnd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реагування</w:t>
      </w:r>
      <w:proofErr w:type="spellEnd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на </w:t>
      </w:r>
      <w:proofErr w:type="spell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випадки</w:t>
      </w:r>
      <w:proofErr w:type="spellEnd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(</w:t>
      </w:r>
      <w:proofErr w:type="spell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цькування</w:t>
      </w:r>
      <w:proofErr w:type="spellEnd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) в </w:t>
      </w:r>
      <w:proofErr w:type="spell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закладі</w:t>
      </w:r>
      <w:proofErr w:type="spellEnd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освіти</w:t>
      </w:r>
      <w:proofErr w:type="spellEnd"/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1.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Суб'єктами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реагування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на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випадки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(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цькування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) в закладах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освіти</w:t>
      </w:r>
      <w:proofErr w:type="spellEnd"/>
      <w:proofErr w:type="gram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є:</w:t>
      </w:r>
      <w:proofErr w:type="gramEnd"/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lastRenderedPageBreak/>
        <w:t>заклади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освіти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eastAsia="ru-RU" w:bidi="ar-SA"/>
        </w:rPr>
        <w:t xml:space="preserve"> </w:t>
      </w:r>
      <w:proofErr w:type="gram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eastAsia="ru-RU" w:bidi="ar-SA"/>
        </w:rPr>
        <w:t>вс</w:t>
      </w:r>
      <w:proofErr w:type="gram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eastAsia="ru-RU" w:bidi="ar-SA"/>
        </w:rPr>
        <w:t>іх типів та форм власності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засновник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(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засновники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)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закладів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освіти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(орган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місцевого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самоврядування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та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їх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виконавчі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органи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у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сфері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освіти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відповідна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рада від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імені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територіальної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громади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(громад),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фізична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та/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або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юридична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особа, </w:t>
      </w:r>
      <w:proofErr w:type="spellStart"/>
      <w:proofErr w:type="gram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р</w:t>
      </w:r>
      <w:proofErr w:type="gram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ішенням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та за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рахунок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майна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яких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засновано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заклад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освіти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або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які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в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інший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спосіб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відповідно до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законодавства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набули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прав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обов’</w:t>
      </w:r>
      <w:proofErr w:type="gram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язків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засновника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закладу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освіти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);</w:t>
      </w:r>
      <w:proofErr w:type="gramEnd"/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органи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місцевого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самоврядування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eastAsia="ru-RU" w:bidi="ar-SA"/>
        </w:rPr>
        <w:t xml:space="preserve"> та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їх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виконавчі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органи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у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сфері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освіти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eastAsia="ru-RU" w:bidi="ar-SA"/>
        </w:rPr>
        <w:t>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B760A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територіальн</w:t>
      </w:r>
      <w:proofErr w:type="spellEnd"/>
      <w:r w:rsidRPr="00B760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і</w:t>
      </w:r>
      <w:r w:rsidRPr="00B760A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орган</w:t>
      </w:r>
      <w:r w:rsidRPr="00B760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Pr="00B760A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 (</w:t>
      </w:r>
      <w:proofErr w:type="spellStart"/>
      <w:proofErr w:type="gramStart"/>
      <w:r w:rsidRPr="00B760A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п</w:t>
      </w:r>
      <w:proofErr w:type="gramEnd"/>
      <w:r w:rsidRPr="00B760A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ідрозд</w:t>
      </w:r>
      <w:r w:rsidRPr="00B760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іли</w:t>
      </w:r>
      <w:proofErr w:type="spellEnd"/>
      <w:r w:rsidRPr="00B760A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 xml:space="preserve">) служб у справах </w:t>
      </w:r>
      <w:proofErr w:type="spellStart"/>
      <w:r w:rsidRPr="00B760AE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  <w:t>дітей</w:t>
      </w:r>
      <w:proofErr w:type="spellEnd"/>
      <w:r w:rsidRPr="00B760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та </w:t>
      </w:r>
      <w:r w:rsidRPr="00B760A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 w:bidi="ar-SA"/>
        </w:rPr>
        <w:t>центр</w:t>
      </w:r>
      <w:r w:rsidRPr="00B760A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и</w:t>
      </w:r>
      <w:r w:rsidRPr="00B760A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 w:bidi="ar-SA"/>
        </w:rPr>
        <w:t xml:space="preserve"> </w:t>
      </w:r>
      <w:proofErr w:type="spellStart"/>
      <w:r w:rsidRPr="00B760A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 w:bidi="ar-SA"/>
        </w:rPr>
        <w:t>соціальних</w:t>
      </w:r>
      <w:proofErr w:type="spellEnd"/>
      <w:r w:rsidRPr="00B760A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 w:bidi="ar-SA"/>
        </w:rPr>
        <w:t xml:space="preserve"> служб для </w:t>
      </w:r>
      <w:proofErr w:type="spellStart"/>
      <w:r w:rsidRPr="00B760A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 w:bidi="ar-SA"/>
        </w:rPr>
        <w:t>сім’ї</w:t>
      </w:r>
      <w:proofErr w:type="spellEnd"/>
      <w:r w:rsidRPr="00B760A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 w:bidi="ar-SA"/>
        </w:rPr>
        <w:t xml:space="preserve">, </w:t>
      </w:r>
      <w:proofErr w:type="spellStart"/>
      <w:r w:rsidRPr="00B760A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 w:bidi="ar-SA"/>
        </w:rPr>
        <w:t>дітей</w:t>
      </w:r>
      <w:proofErr w:type="spellEnd"/>
      <w:r w:rsidRPr="00B760A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 w:bidi="ar-SA"/>
        </w:rPr>
        <w:t xml:space="preserve"> та </w:t>
      </w:r>
      <w:proofErr w:type="spellStart"/>
      <w:r w:rsidRPr="00B760A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ru-RU" w:eastAsia="en-US" w:bidi="ar-SA"/>
        </w:rPr>
        <w:t>молоді</w:t>
      </w:r>
      <w:proofErr w:type="spellEnd"/>
      <w:r w:rsidRPr="00B760A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територіальні органи (підрозділи) Національної поліції України.</w:t>
      </w:r>
    </w:p>
    <w:p w:rsidR="00741F05" w:rsidRPr="00B760AE" w:rsidRDefault="00741F05" w:rsidP="00741F05">
      <w:pPr>
        <w:widowControl/>
        <w:ind w:left="284" w:firstLine="567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Кожен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із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суб'єктів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реагування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випадки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цькування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) в закладах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освіти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діє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в межах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повноважень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передбачених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законом та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цим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нормативно-правовим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актом.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Суб’єкти реагування на випадки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 у закладах освіти за потреби надають інформацію центральному органу виконавчої влади у сфері освіти і науки про результати здійснення повноважень щодо запобігання та протидії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(цькування),визначених законодавством</w:t>
      </w:r>
      <w:r w:rsidRPr="00B760AE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. </w:t>
      </w:r>
    </w:p>
    <w:p w:rsidR="00741F05" w:rsidRPr="00B760AE" w:rsidRDefault="00741F05" w:rsidP="00741F05">
      <w:pPr>
        <w:widowControl/>
        <w:ind w:left="284" w:firstLine="567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2.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Діяльність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суб'єктів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реагування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на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випадки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(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цькування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) в закладах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освіти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>здійснюється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val="ru-RU" w:eastAsia="ru-RU" w:bidi="ar-SA"/>
        </w:rPr>
        <w:t xml:space="preserve"> на таких принципах: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законності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; 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відкритості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та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прозорості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дотримання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прав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свобод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людини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поваги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та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неупередженого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ставлення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до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сторін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(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цькування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);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конфіденційності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взаємодії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та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співпраці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;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невідкладного реагування;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комплексного </w:t>
      </w:r>
      <w:proofErr w:type="spellStart"/>
      <w:proofErr w:type="gram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п</w:t>
      </w:r>
      <w:proofErr w:type="gram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ідходу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;</w:t>
      </w:r>
    </w:p>
    <w:p w:rsidR="00741F05" w:rsidRPr="00B760AE" w:rsidRDefault="00741F05" w:rsidP="00741F05">
      <w:pPr>
        <w:widowControl/>
        <w:shd w:val="clear" w:color="auto" w:fill="FFFFFF"/>
        <w:spacing w:after="160"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нетерпимості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до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цькування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) та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визнання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його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суспільної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небезпеки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741F05" w:rsidRPr="00B760AE" w:rsidRDefault="00741F05" w:rsidP="00741F05">
      <w:pPr>
        <w:widowControl/>
        <w:tabs>
          <w:tab w:val="left" w:pos="567"/>
        </w:tabs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3. 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Орган місцевого самоврядування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eastAsia="ru-RU" w:bidi="ar-SA"/>
        </w:rPr>
        <w:t xml:space="preserve"> та їх виконавчі органи у сфері освіти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, відповідна рада від імені територіальної громади (громад), фізична та/або юридична особа, рішенням та за рахунок майна яких засновано заклад освіти або які в інший спосіб відповідно до законодавства набули прав і обов’язків засновника закладу освіти: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здійснюють контроль за виконанням плану заходів, спрямованих на запобігання та протидію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 (цькуванню) в закладі освіти; 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розглядають скарги про відмову у реагуванні на випадки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 (цькування) за заявами здобувачів освіти, їхніх батьків, законних представників, інших осіб та приймає рішення за результатами розгляду таких скарг; 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lastRenderedPageBreak/>
        <w:t xml:space="preserve">сприяють створенню безпечного освітнього середовища в закладах освіти та вживають заходів для надання соціальних та психолого-педагогічних послуг здобувачам освіти, які вчинили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булінг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 (цькування), стали його свідками або постраждали від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можуть делегувати окремі свої повноваження колегіальному органу управління закладу освіти та/або наглядовій (піклувальній) раді закладу освіти.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741F05" w:rsidRPr="00B760AE" w:rsidRDefault="00741F05" w:rsidP="00741F05">
      <w:pPr>
        <w:widowControl/>
        <w:tabs>
          <w:tab w:val="left" w:pos="567"/>
        </w:tabs>
        <w:ind w:left="284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4.</w:t>
      </w:r>
      <w:r w:rsidRPr="00B760AE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Територіальні органи (підрозділи) служб у справах дітей та 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центри соціальних служб для сім’ї, дітей та молоді разом із членами (представниками) </w:t>
      </w:r>
      <w:r w:rsidRPr="00B760A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комісії закладу освіти з розгляду випадків </w:t>
      </w:r>
      <w:proofErr w:type="spellStart"/>
      <w:r w:rsidRPr="00B760A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 (цькування):</w:t>
      </w:r>
    </w:p>
    <w:p w:rsidR="00741F05" w:rsidRPr="00B760AE" w:rsidRDefault="00741F05" w:rsidP="00741F05">
      <w:pPr>
        <w:widowControl/>
        <w:tabs>
          <w:tab w:val="left" w:pos="567"/>
        </w:tabs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проводять оцінку потреб малолітнього чи неповнолітнього кривдника та/або потерпілого щодо соціальних послуг, медичної або психологічної допомоги; </w:t>
      </w:r>
    </w:p>
    <w:p w:rsidR="00741F05" w:rsidRPr="00B760AE" w:rsidRDefault="00741F05" w:rsidP="00741F05">
      <w:pPr>
        <w:widowControl/>
        <w:tabs>
          <w:tab w:val="left" w:pos="567"/>
        </w:tabs>
        <w:ind w:left="284"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інформу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ють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одного з батьків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або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законного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представника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про права, </w:t>
      </w:r>
      <w:proofErr w:type="spellStart"/>
      <w:proofErr w:type="gram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соц</w:t>
      </w:r>
      <w:proofErr w:type="gram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іальні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послуги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медичну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соціальну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психологічну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правову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допомогу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якими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мож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е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скористатися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 малолітній чи неповнолітній кривдник та/або потерпілий.</w:t>
      </w:r>
    </w:p>
    <w:p w:rsidR="00741F05" w:rsidRPr="00B760AE" w:rsidRDefault="00741F05" w:rsidP="00741F05">
      <w:pPr>
        <w:widowControl/>
        <w:ind w:left="284" w:firstLine="567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ru-RU" w:bidi="ar-SA"/>
        </w:rPr>
        <w:t>III</w:t>
      </w:r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. Порядок реагування закладу освіти на випадки </w:t>
      </w:r>
      <w:proofErr w:type="spell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 (цькування)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1. Підставою для реагування в закладах освіти на випадки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 є заява або повідомлення, про випадок та/або підозру його вчинення стосовно малолітньої чи неповнолітньої особи та/або такою особою стосовно інших учасників освітнього процесу, отриманої суб'єктами реагування на випадки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 в закладах освіти.</w:t>
      </w:r>
    </w:p>
    <w:p w:rsidR="00741F05" w:rsidRPr="00B760AE" w:rsidRDefault="00741F05" w:rsidP="00741F05">
      <w:pPr>
        <w:widowControl/>
        <w:ind w:left="284" w:firstLine="567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Повідомлення можуть бути в усній та/або письмовій формі, в тому числі із застосуванням засобів електронної комунікації (телефон, соціальні мережі, електронна пошта, електронні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месенджери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,офіційні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веб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ресурси та ін.).</w:t>
      </w:r>
    </w:p>
    <w:p w:rsidR="00741F05" w:rsidRPr="00B760AE" w:rsidRDefault="00741F05" w:rsidP="00741F05">
      <w:pPr>
        <w:widowControl/>
        <w:ind w:left="284" w:firstLine="567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2. Повідомляти про випадки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 в закладах освіти може будь-яка особа, учасником або стороною якого вона стала або яка підозрює про його вчинення стосовно малолітньої чи неповнолітньої особи та/або такою особою стосовно інших учасників освітнього процесу, або про який отримала достовірну інформацію.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Повідомлення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про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випадки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цькування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)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або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proofErr w:type="gram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п</w:t>
      </w:r>
      <w:proofErr w:type="gram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ідозру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про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його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вчинення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можуть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подаватися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до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будь-якого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суб’єкта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реагування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визначеного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у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пункті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1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розділу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II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цього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Порядку. </w:t>
      </w:r>
    </w:p>
    <w:p w:rsidR="00741F05" w:rsidRPr="00B760AE" w:rsidRDefault="00741F05" w:rsidP="00741F05">
      <w:pPr>
        <w:widowControl/>
        <w:ind w:left="284" w:firstLine="567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3.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 Повнолітні учасники освітнього процесу зобов'язані вжити заходів невідкладного реагування у разі звернення дитини та/або якщо вони стали 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lastRenderedPageBreak/>
        <w:t xml:space="preserve">свідками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 (цькування) (оцінити рівень небезпеки життю та здоров'ю сторін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 (цькування), негайно втрутитись із метою припинення небезпечного впливу, надати (за потреби) невідкладну медичну та психологічну допомогу, звернутись до органів охорони здоров'я для надання медичної допомоги тощо).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</w:pP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4. Керівник закладу освіти: 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3F3F3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призначає уповноважену особу за реалізацію норм законодавства у сфері запобігання та протидії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(цькуванню) в закладі освіти з числа своїх заступників;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у разі отримання заяви про випадок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 не</w:t>
      </w:r>
      <w:r w:rsidRPr="00B760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пізніше однієї доби 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повідомляє 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 xml:space="preserve">територіальний орган (підрозділ) Національної поліції України </w:t>
      </w:r>
      <w:r w:rsidRPr="00B760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про звернення, 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одного з батьків або законних представників малолітньої чи неповнолітньої особи</w:t>
      </w:r>
      <w:r w:rsidRPr="00B760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; для невідкладного надання психологічної допомоги (за потреби) інформує територіальний орган (підрозділ) служби у справах дітей та/або </w:t>
      </w:r>
      <w:r w:rsidRPr="00B760A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центр соціальних служб для сім’ї, дітей та молоді; </w:t>
      </w:r>
      <w:r w:rsidRPr="00B760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для організації надання медичної допомоги постраждалій особі (за потреби) викликає бригаду екстреної (швидкої) медичної допомоги; 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визначає наказом склад комісії з розгляду випадків </w:t>
      </w:r>
      <w:proofErr w:type="spellStart"/>
      <w:r w:rsidRPr="00B760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булінгу</w:t>
      </w:r>
      <w:proofErr w:type="spellEnd"/>
      <w:r w:rsidRPr="00B760A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(цькування) з метою 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проведення розслідування;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у випадку тимчасової відсутності уповноваженої особи визначає цим наказом особу зі складу комісії, відповідальну за підготовку матеріалів для засідання (шляхом опитування учасників випадку, з’ясування наявності фото та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відеофіксацій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психологічної характеристики сторін тощо );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інформує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особу, яка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звернулась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із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заявою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про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подальший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порядок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її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розгляду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скликає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засідання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комісії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розгляду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випадків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цькування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) не </w:t>
      </w:r>
      <w:proofErr w:type="spellStart"/>
      <w:proofErr w:type="gram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ізніше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ніж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три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робочі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дні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 дня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надходження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заяви про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випадок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або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підозру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 метою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планування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застосування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необхідних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заходів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реагування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. </w:t>
      </w:r>
    </w:p>
    <w:p w:rsidR="00741F05" w:rsidRPr="00B760AE" w:rsidRDefault="00741F05" w:rsidP="00741F05">
      <w:pPr>
        <w:widowControl/>
        <w:ind w:left="284" w:firstLine="567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ru-RU" w:bidi="ar-SA"/>
        </w:rPr>
        <w:t>IV</w:t>
      </w:r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.</w:t>
      </w:r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lang w:eastAsia="ru-RU" w:bidi="ar-SA"/>
        </w:rPr>
        <w:tab/>
      </w:r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Діяльність комісії закладу освіти з розгляду випадків </w:t>
      </w:r>
      <w:proofErr w:type="spellStart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 (цькування)</w:t>
      </w:r>
    </w:p>
    <w:p w:rsidR="00741F05" w:rsidRPr="00B760AE" w:rsidRDefault="00741F05" w:rsidP="00741F05">
      <w:pPr>
        <w:widowControl/>
        <w:ind w:left="284"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41F05" w:rsidRPr="00B760AE" w:rsidRDefault="00741F05" w:rsidP="00741F05">
      <w:pPr>
        <w:widowControl/>
        <w:numPr>
          <w:ilvl w:val="0"/>
          <w:numId w:val="1"/>
        </w:numPr>
        <w:tabs>
          <w:tab w:val="num" w:pos="0"/>
        </w:tabs>
        <w:spacing w:after="160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Комісія з розгляду випадків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 є колегіальним органом закладу освіти, яка скликається в кожному окремому випадку надходження заяв про випадки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 в закладі освіти не пізніше ніж три робочі дні з дня надходження заяви або повідомлення.</w:t>
      </w:r>
    </w:p>
    <w:p w:rsidR="00741F05" w:rsidRPr="00B760AE" w:rsidRDefault="00741F05" w:rsidP="00741F05">
      <w:pPr>
        <w:widowControl/>
        <w:tabs>
          <w:tab w:val="num" w:pos="0"/>
        </w:tabs>
        <w:ind w:left="284" w:firstLine="567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41F05" w:rsidRPr="00B760AE" w:rsidRDefault="00741F05" w:rsidP="00741F05">
      <w:pPr>
        <w:widowControl/>
        <w:numPr>
          <w:ilvl w:val="0"/>
          <w:numId w:val="2"/>
        </w:numPr>
        <w:tabs>
          <w:tab w:val="num" w:pos="0"/>
        </w:tabs>
        <w:spacing w:after="160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До складу комісії входять уповноважена особа та інші заінтересовані особи (педагогічні, науково-педагогічні, наукові працівники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  <w:t>, практичний психолог, медичний працівник та інші особи) за рішенням керівника закладу освіти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741F05" w:rsidRPr="00B760AE" w:rsidRDefault="00741F05" w:rsidP="00741F05">
      <w:pPr>
        <w:widowControl/>
        <w:tabs>
          <w:tab w:val="num" w:pos="0"/>
        </w:tabs>
        <w:ind w:left="284"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 xml:space="preserve">До участі в засіданні комісії також можуть бути залучені сторони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 (за потреби), один з батьків або законних представників малолітнього або неповнолітнього кривдника та потерпілого, представники 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eastAsia="ru-RU" w:bidi="ar-SA"/>
        </w:rPr>
        <w:t xml:space="preserve">інших суб’єктів реагування на випадки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DFD"/>
          <w:lang w:eastAsia="ru-RU" w:bidi="ar-SA"/>
        </w:rPr>
        <w:t xml:space="preserve">(цькування) в закладах освіти та інших заінтересованих сторін. </w:t>
      </w:r>
    </w:p>
    <w:p w:rsidR="00741F05" w:rsidRPr="00B760AE" w:rsidRDefault="00741F05" w:rsidP="00741F05">
      <w:pPr>
        <w:widowControl/>
        <w:tabs>
          <w:tab w:val="num" w:pos="0"/>
        </w:tabs>
        <w:ind w:left="284" w:firstLine="567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41F05" w:rsidRPr="00B760AE" w:rsidRDefault="00741F05" w:rsidP="00741F05">
      <w:pPr>
        <w:widowControl/>
        <w:tabs>
          <w:tab w:val="num" w:pos="0"/>
        </w:tabs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3.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Комі</w:t>
      </w:r>
      <w:proofErr w:type="gram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с</w:t>
      </w:r>
      <w:proofErr w:type="gram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ія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на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своїх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засіданнях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розробляє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пропозиції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та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рекомендації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з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питань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що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належать до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її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компетенції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.</w:t>
      </w:r>
    </w:p>
    <w:p w:rsidR="00741F05" w:rsidRPr="00B760AE" w:rsidRDefault="00741F05" w:rsidP="00741F05">
      <w:pPr>
        <w:widowControl/>
        <w:spacing w:after="200"/>
        <w:ind w:left="284" w:firstLine="567"/>
        <w:rPr>
          <w:rFonts w:ascii="Calibri" w:eastAsia="Calibri" w:hAnsi="Calibri" w:cs="Times New Roman"/>
          <w:color w:val="auto"/>
          <w:lang w:eastAsia="ru-RU" w:bidi="ar-SA"/>
        </w:rPr>
      </w:pPr>
    </w:p>
    <w:p w:rsidR="00741F05" w:rsidRPr="00B760AE" w:rsidRDefault="00741F05" w:rsidP="00741F05">
      <w:pPr>
        <w:widowControl/>
        <w:tabs>
          <w:tab w:val="num" w:pos="0"/>
        </w:tabs>
        <w:ind w:left="284" w:firstLine="567"/>
        <w:jc w:val="both"/>
        <w:rPr>
          <w:rFonts w:ascii="Calibri" w:eastAsia="Times New Roman" w:hAnsi="Calibri" w:cs="Calibri"/>
          <w:color w:val="auto"/>
          <w:sz w:val="28"/>
          <w:szCs w:val="28"/>
          <w:lang w:val="ru-RU"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4.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За </w:t>
      </w:r>
      <w:proofErr w:type="spellStart"/>
      <w:proofErr w:type="gram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ідсумками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роботи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комісії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складається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протокол</w:t>
      </w:r>
      <w:r w:rsidRPr="00B760AE">
        <w:rPr>
          <w:rFonts w:ascii="Calibri" w:eastAsia="Times New Roman" w:hAnsi="Calibri" w:cs="Calibri"/>
          <w:color w:val="auto"/>
          <w:sz w:val="28"/>
          <w:szCs w:val="28"/>
          <w:lang w:val="ru-RU" w:eastAsia="ru-RU" w:bidi="ar-SA"/>
        </w:rPr>
        <w:t>.</w:t>
      </w:r>
    </w:p>
    <w:p w:rsidR="00741F05" w:rsidRPr="00B760AE" w:rsidRDefault="00741F05" w:rsidP="00741F05">
      <w:pPr>
        <w:widowControl/>
        <w:tabs>
          <w:tab w:val="num" w:pos="0"/>
        </w:tabs>
        <w:ind w:left="284" w:firstLine="567"/>
        <w:jc w:val="both"/>
        <w:rPr>
          <w:rFonts w:ascii="Calibri" w:eastAsia="Times New Roman" w:hAnsi="Calibri" w:cs="Calibri"/>
          <w:color w:val="auto"/>
          <w:sz w:val="28"/>
          <w:szCs w:val="28"/>
          <w:lang w:val="ru-RU" w:eastAsia="ru-RU" w:bidi="ar-SA"/>
        </w:rPr>
      </w:pPr>
    </w:p>
    <w:p w:rsidR="00741F05" w:rsidRPr="00B760AE" w:rsidRDefault="00741F05" w:rsidP="00741F05">
      <w:pPr>
        <w:widowControl/>
        <w:tabs>
          <w:tab w:val="num" w:pos="0"/>
        </w:tabs>
        <w:ind w:left="284"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5. 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 згідно з протоколом засідання комісії відповідає уповноважена особа або особа, яка її замінює у разі відсутності відповідно до наказу про склад комісії. </w:t>
      </w:r>
    </w:p>
    <w:p w:rsidR="00741F05" w:rsidRPr="00B760AE" w:rsidRDefault="00741F05" w:rsidP="00741F05">
      <w:pPr>
        <w:widowControl/>
        <w:tabs>
          <w:tab w:val="num" w:pos="0"/>
        </w:tabs>
        <w:ind w:left="284" w:firstLine="567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741F05" w:rsidRPr="00B760AE" w:rsidRDefault="00741F05" w:rsidP="00741F05">
      <w:pPr>
        <w:widowControl/>
        <w:tabs>
          <w:tab w:val="num" w:pos="0"/>
        </w:tabs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6. До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повноважень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комі</w:t>
      </w:r>
      <w:proofErr w:type="gram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с</w:t>
      </w:r>
      <w:proofErr w:type="gram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ії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належать:</w:t>
      </w:r>
    </w:p>
    <w:p w:rsidR="00741F05" w:rsidRPr="00B760AE" w:rsidRDefault="00741F05" w:rsidP="00741F05">
      <w:pPr>
        <w:widowControl/>
        <w:tabs>
          <w:tab w:val="num" w:pos="0"/>
        </w:tabs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розгляд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та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аналіз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матеріалів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за результатами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проведеного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розслідування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щодо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з'ясування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обставин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на </w:t>
      </w:r>
      <w:proofErr w:type="gram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</w:t>
      </w:r>
      <w:proofErr w:type="gram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ідставі заяви про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булінг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цькування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);</w:t>
      </w:r>
    </w:p>
    <w:p w:rsidR="00741F05" w:rsidRPr="00B760AE" w:rsidRDefault="00741F05" w:rsidP="00741F05">
      <w:pPr>
        <w:widowControl/>
        <w:tabs>
          <w:tab w:val="num" w:pos="0"/>
        </w:tabs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визначення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сторін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цькування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),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можливих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причин та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необхідних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заході</w:t>
      </w:r>
      <w:proofErr w:type="gram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для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їх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усунення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741F05" w:rsidRPr="00B760AE" w:rsidRDefault="00741F05" w:rsidP="00741F05">
      <w:pPr>
        <w:widowControl/>
        <w:tabs>
          <w:tab w:val="num" w:pos="0"/>
        </w:tabs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планування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заходів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стабілізації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психологічного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клімату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у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колективі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формування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емпатії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між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сторонами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цькування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) та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>надання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ru-RU" w:eastAsia="ru-RU" w:bidi="ar-SA"/>
        </w:rPr>
        <w:t xml:space="preserve"> </w:t>
      </w:r>
      <w:proofErr w:type="spellStart"/>
      <w:proofErr w:type="gram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</w:t>
      </w:r>
      <w:proofErr w:type="gram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іальних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психолого-педагогічних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послуг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сторонам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цькування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), в тому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числі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із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залученням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необхідних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фахівців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із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надання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правової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соціальної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іншої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допомоги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тощо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;</w:t>
      </w:r>
    </w:p>
    <w:p w:rsidR="00741F05" w:rsidRPr="00B760AE" w:rsidRDefault="00741F05" w:rsidP="00741F05">
      <w:pPr>
        <w:widowControl/>
        <w:tabs>
          <w:tab w:val="num" w:pos="0"/>
        </w:tabs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формування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рекомендацій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для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педагогічних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науково-педагогічних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наукових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працівників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закладу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освіти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щодо </w:t>
      </w:r>
      <w:proofErr w:type="spellStart"/>
      <w:proofErr w:type="gram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доц</w:t>
      </w:r>
      <w:proofErr w:type="gram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ільних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методів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навчання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та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організації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роботи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з 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малолітніми чи неповнолітніми 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сторонами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цькування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) та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їхніми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батьками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або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законними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представниками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; </w:t>
      </w:r>
    </w:p>
    <w:p w:rsidR="00741F05" w:rsidRPr="00B760AE" w:rsidRDefault="00741F05" w:rsidP="00741F05">
      <w:pPr>
        <w:widowControl/>
        <w:tabs>
          <w:tab w:val="num" w:pos="0"/>
        </w:tabs>
        <w:ind w:left="284" w:firstLine="567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формування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рекомендацій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для батьків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або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законних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представників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малолітньої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чи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неповнолітньої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особи, яка стала стороною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 xml:space="preserve"> (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цькування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  <w:t>).</w:t>
      </w:r>
    </w:p>
    <w:p w:rsidR="00741F05" w:rsidRPr="00B760AE" w:rsidRDefault="00741F05" w:rsidP="00741F05">
      <w:pPr>
        <w:widowControl/>
        <w:tabs>
          <w:tab w:val="num" w:pos="0"/>
        </w:tabs>
        <w:ind w:left="284" w:firstLine="567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741F05" w:rsidRPr="00B760AE" w:rsidRDefault="00741F05" w:rsidP="00741F05">
      <w:pPr>
        <w:widowControl/>
        <w:tabs>
          <w:tab w:val="num" w:pos="0"/>
        </w:tabs>
        <w:spacing w:after="240"/>
        <w:ind w:left="284" w:firstLine="567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ru-RU" w:bidi="ar-SA"/>
        </w:rPr>
        <w:t>V</w:t>
      </w:r>
      <w:r w:rsidRPr="00B760A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 w:bidi="ar-SA"/>
        </w:rPr>
        <w:t>.</w:t>
      </w:r>
      <w:r w:rsidRPr="00B760A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Порядок застосування заходів виховного впливу в закладі освіти</w:t>
      </w:r>
    </w:p>
    <w:p w:rsidR="00741F05" w:rsidRPr="00B760AE" w:rsidRDefault="00741F05" w:rsidP="00741F05">
      <w:pPr>
        <w:widowControl/>
        <w:tabs>
          <w:tab w:val="num" w:pos="0"/>
        </w:tabs>
        <w:spacing w:after="240"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1. Заходи виховного впливу застосовуються для відновлення та нормалізації відносин між учасниками освітнього процесу після випадку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 з метою створення та сприятливого для навчання та роботи освітнього середовища.</w:t>
      </w:r>
    </w:p>
    <w:p w:rsidR="00741F05" w:rsidRPr="00B760AE" w:rsidRDefault="00741F05" w:rsidP="00741F05">
      <w:pPr>
        <w:widowControl/>
        <w:tabs>
          <w:tab w:val="num" w:pos="0"/>
        </w:tabs>
        <w:spacing w:after="240"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 xml:space="preserve">2. Заходи виховного впливу застосовуються у разі наявності факту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 в закладі освіти по відношенню до кривдника, потерпілого та свідків.</w:t>
      </w:r>
    </w:p>
    <w:p w:rsidR="00741F05" w:rsidRPr="00B760AE" w:rsidRDefault="00741F05" w:rsidP="00741F05">
      <w:pPr>
        <w:widowControl/>
        <w:tabs>
          <w:tab w:val="num" w:pos="0"/>
        </w:tabs>
        <w:spacing w:after="240"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3. Заходи виховного впливу мають забезпечити дотримання прав та інтересів сторін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(цькування), необхідне виховання та освіту, соціальну та психолого-педагогічну допомогу.</w:t>
      </w:r>
    </w:p>
    <w:p w:rsidR="00741F05" w:rsidRPr="00B760AE" w:rsidRDefault="00741F05" w:rsidP="00741F05">
      <w:pPr>
        <w:widowControl/>
        <w:tabs>
          <w:tab w:val="num" w:pos="0"/>
        </w:tabs>
        <w:spacing w:after="240"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4. Заходи виховного впливу реалізуються педагогічними, науково-педагогічними працівниками закладу освіти із залученням необхідних фахівців із надання правової, психологічної, соціальної та іншої допомоги, в тому числі територіальних органів (підрозділів) служб у справах дітей та центрів соціальних служб для сім’ї, дітей та молоді тощо.</w:t>
      </w:r>
    </w:p>
    <w:p w:rsidR="00741F05" w:rsidRPr="00B760AE" w:rsidRDefault="00741F05" w:rsidP="00741F05">
      <w:pPr>
        <w:widowControl/>
        <w:tabs>
          <w:tab w:val="num" w:pos="0"/>
        </w:tabs>
        <w:spacing w:after="240"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5. Необхідні заходи виховного впливу визначає та планує комісія з розгляду випадків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 в закладі освіти.</w:t>
      </w:r>
    </w:p>
    <w:p w:rsidR="00741F05" w:rsidRPr="00B760AE" w:rsidRDefault="00741F05" w:rsidP="00741F05">
      <w:pPr>
        <w:widowControl/>
        <w:tabs>
          <w:tab w:val="num" w:pos="0"/>
        </w:tabs>
        <w:spacing w:after="240"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6. Засновник закладу освіти вживає необхідних заходів для надання соціальних та психолого-педагогічних послуг здобувачам освіти, які вчинили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(цькування), стали його свідками або постраждали від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в тому числі залучення (за потреби) необхідних фахівців із надання правової, психологічної, соціальної та іншої допомоги тощо.</w:t>
      </w:r>
    </w:p>
    <w:p w:rsidR="00741F05" w:rsidRPr="00B760AE" w:rsidRDefault="00741F05" w:rsidP="00741F05">
      <w:pPr>
        <w:widowControl/>
        <w:tabs>
          <w:tab w:val="num" w:pos="0"/>
        </w:tabs>
        <w:spacing w:after="240"/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7. Керівник закладу освіти 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стали його свідками або постраждали від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(цькування).</w:t>
      </w:r>
    </w:p>
    <w:p w:rsidR="00741F05" w:rsidRPr="00B760AE" w:rsidRDefault="00741F05" w:rsidP="00741F05">
      <w:pPr>
        <w:widowControl/>
        <w:tabs>
          <w:tab w:val="num" w:pos="0"/>
        </w:tabs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8. Практичний психолог та соціальний педагог у межах своїх посадових обов’язків:</w:t>
      </w:r>
    </w:p>
    <w:p w:rsidR="00741F05" w:rsidRPr="00B760AE" w:rsidRDefault="00741F05" w:rsidP="00741F05">
      <w:pPr>
        <w:widowControl/>
        <w:tabs>
          <w:tab w:val="num" w:pos="0"/>
        </w:tabs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діагностують стан психологічного клімату в колективі, в якому відбувся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(цькування);</w:t>
      </w:r>
    </w:p>
    <w:p w:rsidR="00741F05" w:rsidRPr="00B760AE" w:rsidRDefault="00741F05" w:rsidP="00741F05">
      <w:pPr>
        <w:widowControl/>
        <w:tabs>
          <w:tab w:val="num" w:pos="0"/>
        </w:tabs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 результатами діагностики розробляють план корекційної роботи з кривдником та свідками із залученням батьків або законних представників;</w:t>
      </w:r>
    </w:p>
    <w:p w:rsidR="00741F05" w:rsidRPr="00B760AE" w:rsidRDefault="00741F05" w:rsidP="00741F05">
      <w:pPr>
        <w:widowControl/>
        <w:tabs>
          <w:tab w:val="num" w:pos="0"/>
        </w:tabs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розробляють та реалізують програму індивідуальної реабілітації для потерпілого;</w:t>
      </w:r>
    </w:p>
    <w:p w:rsidR="00741F05" w:rsidRPr="00B760AE" w:rsidRDefault="00741F05" w:rsidP="00741F05">
      <w:pPr>
        <w:widowControl/>
        <w:tabs>
          <w:tab w:val="num" w:pos="0"/>
        </w:tabs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розробляють профілактичні заходи для групи (класу), в якій зафіксовано випадок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(цькування); для батьків або законних представників;</w:t>
      </w:r>
    </w:p>
    <w:p w:rsidR="00741F05" w:rsidRPr="00B760AE" w:rsidRDefault="00741F05" w:rsidP="00741F05">
      <w:pPr>
        <w:widowControl/>
        <w:tabs>
          <w:tab w:val="num" w:pos="0"/>
        </w:tabs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здійснюють супровід педагогічних, науково-педагогічних працівників, які забезпечують освітній процес для групи (класу), в якій зафіксовано випадок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(цькування);</w:t>
      </w:r>
    </w:p>
    <w:p w:rsidR="00741F05" w:rsidRPr="00B760AE" w:rsidRDefault="00741F05" w:rsidP="00741F05">
      <w:pPr>
        <w:widowControl/>
        <w:tabs>
          <w:tab w:val="num" w:pos="0"/>
        </w:tabs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забезпечують надання психологічного супроводу здобувачів освіти, які постраждали від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(цькування), стали його свідками або вчинили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(цькування).</w:t>
      </w:r>
    </w:p>
    <w:p w:rsidR="00741F05" w:rsidRPr="00B760AE" w:rsidRDefault="00741F05" w:rsidP="00741F05">
      <w:pPr>
        <w:widowControl/>
        <w:tabs>
          <w:tab w:val="num" w:pos="0"/>
        </w:tabs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741F05" w:rsidRPr="00B760AE" w:rsidRDefault="00741F05" w:rsidP="00741F05">
      <w:pPr>
        <w:widowControl/>
        <w:tabs>
          <w:tab w:val="num" w:pos="0"/>
        </w:tabs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 xml:space="preserve">9. Педагогічні, науково-педагогічні працівники, які забезпечують освітній процес для групи (класу), в якій зафіксовано випадок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(цькування):</w:t>
      </w:r>
    </w:p>
    <w:p w:rsidR="00741F05" w:rsidRPr="00B760AE" w:rsidRDefault="00741F05" w:rsidP="00741F05">
      <w:pPr>
        <w:widowControl/>
        <w:tabs>
          <w:tab w:val="num" w:pos="0"/>
        </w:tabs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виконують рекомендації комісія з розгляду випадків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 в закладі освіти щодо доцільних методів навчання та організації роботи з неповнолітніми або малолітніми сторонами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булінгу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(цькування) та їхніми батьками або законними представниками; </w:t>
      </w:r>
    </w:p>
    <w:p w:rsidR="00741F05" w:rsidRPr="00B760AE" w:rsidRDefault="00741F05" w:rsidP="00741F05">
      <w:pPr>
        <w:widowControl/>
        <w:tabs>
          <w:tab w:val="num" w:pos="0"/>
        </w:tabs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забезпечують інтеграцію </w:t>
      </w:r>
      <w:proofErr w:type="spellStart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антибулінгового</w:t>
      </w:r>
      <w:proofErr w:type="spellEnd"/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компоненту в освітній процес, який визначається правилами поведінки учасників освітнього процесу в закладі освіти, статутом закладу освіти,  законодавством;</w:t>
      </w:r>
    </w:p>
    <w:p w:rsidR="00741F05" w:rsidRPr="00B760AE" w:rsidRDefault="00741F05" w:rsidP="00741F05">
      <w:pPr>
        <w:widowControl/>
        <w:tabs>
          <w:tab w:val="num" w:pos="0"/>
        </w:tabs>
        <w:ind w:left="284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760A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виробляють спільно з здобувачами освіти правила взаємодії групи (класу) під час освітнього процесу.</w:t>
      </w:r>
    </w:p>
    <w:p w:rsidR="00741F05" w:rsidRPr="00B760AE" w:rsidRDefault="00741F05" w:rsidP="00741F05">
      <w:pPr>
        <w:widowControl/>
        <w:spacing w:after="160"/>
        <w:ind w:left="284" w:firstLine="567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741F05" w:rsidRPr="00B760AE" w:rsidRDefault="00741F05" w:rsidP="00741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F05" w:rsidRDefault="00741F05" w:rsidP="00741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9BA" w:rsidRDefault="00A879BA" w:rsidP="00741F05"/>
    <w:sectPr w:rsidR="00A879BA" w:rsidSect="00741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404D"/>
    <w:multiLevelType w:val="multilevel"/>
    <w:tmpl w:val="1E586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851EC"/>
    <w:multiLevelType w:val="hybridMultilevel"/>
    <w:tmpl w:val="F4C6139E"/>
    <w:lvl w:ilvl="0" w:tplc="69263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C6784"/>
    <w:multiLevelType w:val="hybridMultilevel"/>
    <w:tmpl w:val="EEE42FF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A60871"/>
    <w:multiLevelType w:val="multilevel"/>
    <w:tmpl w:val="0D70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/>
  <w:rsids>
    <w:rsidRoot w:val="00741F05"/>
    <w:rsid w:val="0047653E"/>
    <w:rsid w:val="006927AF"/>
    <w:rsid w:val="00741F05"/>
    <w:rsid w:val="00A32590"/>
    <w:rsid w:val="00A879BA"/>
    <w:rsid w:val="00F6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47" w:lineRule="exact"/>
        <w:ind w:right="204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1F05"/>
    <w:pPr>
      <w:widowControl w:val="0"/>
      <w:spacing w:line="240" w:lineRule="auto"/>
      <w:ind w:right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12407</Words>
  <Characters>7073</Characters>
  <Application>Microsoft Office Word</Application>
  <DocSecurity>0</DocSecurity>
  <Lines>58</Lines>
  <Paragraphs>38</Paragraphs>
  <ScaleCrop>false</ScaleCrop>
  <Company>Grizli777</Company>
  <LinksUpToDate>false</LinksUpToDate>
  <CharactersWithSpaces>19442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School_139</dc:creator>
  <cp:lastModifiedBy>School_139</cp:lastModifiedBy>
  <cp:revision>1</cp:revision>
  <dcterms:created xsi:type="dcterms:W3CDTF">2019-04-25T09:06:00Z</dcterms:created>
  <dcterms:modified xsi:type="dcterms:W3CDTF">2019-04-25T09:07:00Z</dcterms:modified>
</cp:coreProperties>
</file>